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20367C" w:rsidRPr="008A6AD1" w:rsidTr="00A8773D">
        <w:trPr>
          <w:trHeight w:val="8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67C" w:rsidRPr="008A6AD1" w:rsidRDefault="0020367C" w:rsidP="008A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20367C" w:rsidRPr="008A6AD1" w:rsidRDefault="0020367C" w:rsidP="008A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для публикации в СМИ</w:t>
            </w:r>
          </w:p>
          <w:p w:rsidR="008A6AD1" w:rsidRDefault="008A6AD1" w:rsidP="008A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D1" w:rsidRPr="008A6AD1" w:rsidRDefault="008A6AD1" w:rsidP="008A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разъясняет</w:t>
            </w:r>
          </w:p>
          <w:p w:rsidR="0020367C" w:rsidRPr="008A6AD1" w:rsidRDefault="008A6AD1" w:rsidP="008A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20367C"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«Новое в налоговом законодательстве»</w:t>
            </w:r>
          </w:p>
        </w:tc>
      </w:tr>
    </w:tbl>
    <w:p w:rsidR="0020367C" w:rsidRPr="008A6AD1" w:rsidRDefault="0020367C" w:rsidP="008A6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C" w:rsidRPr="008A6AD1" w:rsidRDefault="0020367C" w:rsidP="008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8A6AD1">
        <w:rPr>
          <w:rFonts w:ascii="Times New Roman" w:hAnsi="Times New Roman" w:cs="Times New Roman"/>
          <w:sz w:val="28"/>
          <w:szCs w:val="28"/>
        </w:rPr>
        <w:t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Ранее он составлял 50 тысяч рублей.</w:t>
      </w:r>
    </w:p>
    <w:p w:rsidR="0020367C" w:rsidRPr="008A6AD1" w:rsidRDefault="0020367C" w:rsidP="008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8A6AD1">
        <w:rPr>
          <w:rFonts w:ascii="Times New Roman" w:hAnsi="Times New Roman" w:cs="Times New Roman"/>
          <w:sz w:val="28"/>
          <w:szCs w:val="28"/>
        </w:rPr>
        <w:t>Наряду с этим, со 120 до 150 тысяч рублей увеличен предельный размер социального налогового вычета, предоставляемого налогоплательщику по затратам на своё обучение, лечение, в том числе на лечение членов своей семьи и приобретение лекарств, за исключением расходов на дорогостоящее лечение,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</w:p>
    <w:tbl>
      <w:tblPr>
        <w:tblStyle w:val="a3"/>
        <w:tblW w:w="92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  <w:gridCol w:w="855"/>
        <w:gridCol w:w="20"/>
      </w:tblGrid>
      <w:tr w:rsidR="0020367C" w:rsidRPr="0020367C" w:rsidTr="008A6AD1">
        <w:trPr>
          <w:gridAfter w:val="1"/>
          <w:wAfter w:w="18" w:type="dxa"/>
        </w:trPr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367C" w:rsidRPr="0020367C" w:rsidRDefault="0020367C" w:rsidP="008A6AD1">
            <w:r w:rsidRPr="0020367C">
              <w:t xml:space="preserve">  </w:t>
            </w:r>
            <w:r w:rsidR="008A6AD1"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разъясняет</w:t>
            </w:r>
            <w:r w:rsidR="008A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  <w:vAlign w:val="bottom"/>
          </w:tcPr>
          <w:p w:rsidR="0020367C" w:rsidRPr="0020367C" w:rsidRDefault="0020367C" w:rsidP="0020367C">
            <w:pPr>
              <w:spacing w:after="160" w:line="259" w:lineRule="auto"/>
            </w:pPr>
          </w:p>
        </w:tc>
      </w:tr>
      <w:tr w:rsidR="008A6AD1" w:rsidRPr="0020367C" w:rsidTr="008A6AD1">
        <w:trPr>
          <w:gridAfter w:val="1"/>
          <w:wAfter w:w="18" w:type="dxa"/>
        </w:trPr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AD1" w:rsidRPr="0020367C" w:rsidRDefault="008A6AD1" w:rsidP="0020367C"/>
        </w:tc>
        <w:tc>
          <w:tcPr>
            <w:tcW w:w="784" w:type="dxa"/>
            <w:vAlign w:val="bottom"/>
          </w:tcPr>
          <w:p w:rsidR="008A6AD1" w:rsidRPr="0020367C" w:rsidRDefault="008A6AD1" w:rsidP="0020367C"/>
        </w:tc>
      </w:tr>
      <w:tr w:rsidR="0020367C" w:rsidRPr="008A6AD1" w:rsidTr="008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9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0367C" w:rsidRPr="008A6AD1" w:rsidRDefault="0020367C" w:rsidP="008A6A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«Об освобождении водителей новых</w:t>
            </w:r>
            <w:r w:rsidR="008A6AD1"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регионов РФ от технического</w:t>
            </w:r>
            <w:r w:rsidR="008A6AD1"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осмотра машин»</w:t>
            </w:r>
          </w:p>
        </w:tc>
      </w:tr>
    </w:tbl>
    <w:p w:rsidR="0020367C" w:rsidRPr="008A6AD1" w:rsidRDefault="0020367C" w:rsidP="008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8A6AD1">
        <w:rPr>
          <w:rFonts w:ascii="Times New Roman" w:hAnsi="Times New Roman" w:cs="Times New Roman"/>
          <w:sz w:val="28"/>
          <w:szCs w:val="28"/>
        </w:rPr>
        <w:t>29 июля 2023 г. было опубликовано Постановление Правительства РФ N 1236 “Об особенностях применения на территориях Донецкой Народной Республики, Луганской Народной Республики, Запорожской области и Херсонской области положений законодательства Российской Федерации в сфере технического осмотра транспортных средств”, которое вступило в силу со дня его официального опубликования и будет действовать до 1 января 2026 г.</w:t>
      </w:r>
      <w:r w:rsidR="008A6AD1">
        <w:rPr>
          <w:rFonts w:ascii="Times New Roman" w:hAnsi="Times New Roman" w:cs="Times New Roman"/>
          <w:sz w:val="28"/>
          <w:szCs w:val="28"/>
        </w:rPr>
        <w:t xml:space="preserve"> </w:t>
      </w:r>
      <w:r w:rsidRPr="008A6AD1">
        <w:rPr>
          <w:rFonts w:ascii="Times New Roman" w:hAnsi="Times New Roman" w:cs="Times New Roman"/>
          <w:sz w:val="28"/>
          <w:szCs w:val="28"/>
        </w:rPr>
        <w:t>В Постановлении отмечено, что до 1 января 2026 г. в отношении транспортных средств, зарегистрированных и эксплуатируемых в ДНР, ЛНР, Запорожской и Херсонской областях, не потребуется техосмотр. Исключение - обязанность пройти его установлена актами новых регионов, которые действовали по состоянию на 30 сентября 2022 г.</w:t>
      </w:r>
      <w:r w:rsidR="008A6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67C" w:rsidRPr="008A6AD1" w:rsidRDefault="0020367C" w:rsidP="008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8A6AD1">
        <w:rPr>
          <w:rFonts w:ascii="Times New Roman" w:hAnsi="Times New Roman" w:cs="Times New Roman"/>
          <w:sz w:val="28"/>
          <w:szCs w:val="28"/>
        </w:rPr>
        <w:t>Упрощен порядок аккредитации претендентов в операторы техосмотра - без выездной проверки и без внесения платы за аккредитацию.</w:t>
      </w:r>
    </w:p>
    <w:p w:rsidR="008A6AD1" w:rsidRPr="008A6AD1" w:rsidRDefault="0020367C" w:rsidP="008A6AD1">
      <w:pPr>
        <w:jc w:val="both"/>
        <w:rPr>
          <w:rFonts w:ascii="Times New Roman" w:hAnsi="Times New Roman" w:cs="Times New Roman"/>
          <w:sz w:val="28"/>
          <w:szCs w:val="28"/>
        </w:rPr>
      </w:pPr>
      <w:r w:rsidRPr="008A6AD1">
        <w:rPr>
          <w:rFonts w:ascii="Times New Roman" w:hAnsi="Times New Roman" w:cs="Times New Roman"/>
          <w:sz w:val="28"/>
          <w:szCs w:val="28"/>
        </w:rPr>
        <w:t>Соответствие аккредитованных операторов техосмотра будет оцениваться без выездной проверки.</w:t>
      </w:r>
      <w:r w:rsidR="008A6AD1" w:rsidRPr="008A6AD1">
        <w:rPr>
          <w:rFonts w:ascii="Times New Roman" w:hAnsi="Times New Roman" w:cs="Times New Roman"/>
          <w:sz w:val="24"/>
          <w:szCs w:val="24"/>
        </w:rPr>
        <w:t xml:space="preserve"> </w:t>
      </w:r>
      <w:r w:rsidR="008A6AD1" w:rsidRPr="008A6AD1">
        <w:rPr>
          <w:rFonts w:ascii="Times New Roman" w:hAnsi="Times New Roman" w:cs="Times New Roman"/>
          <w:sz w:val="28"/>
          <w:szCs w:val="28"/>
        </w:rPr>
        <w:t>Не позднее 1 сентября 2025 г. власти новых регионов должны подготовиться к оказанию услуг по техосмотру.</w:t>
      </w:r>
    </w:p>
    <w:p w:rsidR="006A1AF0" w:rsidRDefault="008A6AD1" w:rsidP="008A6AD1">
      <w:pPr>
        <w:rPr>
          <w:rFonts w:ascii="Times New Roman" w:hAnsi="Times New Roman" w:cs="Times New Roman"/>
          <w:b/>
          <w:sz w:val="28"/>
          <w:szCs w:val="28"/>
        </w:rPr>
      </w:pPr>
      <w:r w:rsidRPr="008A6AD1">
        <w:rPr>
          <w:rFonts w:ascii="Times New Roman" w:hAnsi="Times New Roman" w:cs="Times New Roman"/>
          <w:b/>
          <w:sz w:val="28"/>
          <w:szCs w:val="28"/>
        </w:rPr>
        <w:lastRenderedPageBreak/>
        <w:t>Прокурор разъясняет</w:t>
      </w:r>
    </w:p>
    <w:tbl>
      <w:tblPr>
        <w:tblStyle w:val="a3"/>
        <w:tblW w:w="7944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4"/>
      </w:tblGrid>
      <w:tr w:rsidR="008A6AD1" w:rsidRPr="008A6AD1" w:rsidTr="008A6AD1">
        <w:trPr>
          <w:trHeight w:val="80"/>
        </w:trPr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A6AD1" w:rsidRPr="008A6AD1" w:rsidRDefault="008A6AD1" w:rsidP="008A6A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A6AD1">
              <w:rPr>
                <w:rFonts w:ascii="Times New Roman" w:eastAsia="Calibri" w:hAnsi="Times New Roman" w:cs="Times New Roman"/>
                <w:b/>
                <w:sz w:val="28"/>
              </w:rPr>
              <w:t>«О размере неустойки, уплачиваемой застройщиком  участнику долевого строительства»</w:t>
            </w:r>
          </w:p>
        </w:tc>
      </w:tr>
    </w:tbl>
    <w:p w:rsidR="008A6AD1" w:rsidRPr="008A6AD1" w:rsidRDefault="008A6AD1" w:rsidP="008A6A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8A6AD1" w:rsidRPr="008A6AD1" w:rsidRDefault="008A6AD1" w:rsidP="008A6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A6AD1">
        <w:rPr>
          <w:rFonts w:ascii="Times New Roman" w:eastAsia="Calibri" w:hAnsi="Times New Roman" w:cs="Times New Roman"/>
          <w:sz w:val="28"/>
        </w:rPr>
        <w:t>Федеральным законом от 04.08.2023 N 421-ФЗ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устанавливается размер неустойки, уплачиваемой застройщиком участнику долевого строительства при просрочке передачи уникальных объектов.</w:t>
      </w:r>
    </w:p>
    <w:p w:rsidR="008A6AD1" w:rsidRPr="008A6AD1" w:rsidRDefault="008A6AD1" w:rsidP="008A6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A6AD1">
        <w:rPr>
          <w:rFonts w:ascii="Times New Roman" w:eastAsia="Calibri" w:hAnsi="Times New Roman" w:cs="Times New Roman"/>
          <w:sz w:val="28"/>
        </w:rPr>
        <w:t> В случае нарушения на срок, не превышающий тридцати месяцев, предусмотренного договором срока передачи участнику долевого строительства объекта долевого строительства, входящего в состав многоквартирного дома и (или) иного объекта недвижимости, в проектной документации которых предусмотрена хотя бы одна из характеристик, являющаяся в соответствии с Градостроительным кодексом Российской Федерации основанием для отнесения таких многоквартирного дома и (или) иного объекта недвижимости к уникальным объектам,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просрочки, но не более пяти процентов от цены договора.</w:t>
      </w:r>
    </w:p>
    <w:p w:rsidR="008A6AD1" w:rsidRPr="008A6AD1" w:rsidRDefault="008A6AD1" w:rsidP="008A6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A6AD1">
        <w:rPr>
          <w:rFonts w:ascii="Times New Roman" w:eastAsia="Calibri" w:hAnsi="Times New Roman" w:cs="Times New Roman"/>
          <w:sz w:val="28"/>
        </w:rPr>
        <w:t xml:space="preserve">В целях снижения негативных последствий введения в отношении РФ санкций особенности применения данной неустойки применяются к правоотношениям, возникшим из договоров участия в долевом строительстве, заключенных до дня вступления в силу настоящего Закона.  </w:t>
      </w:r>
    </w:p>
    <w:p w:rsidR="008A6AD1" w:rsidRDefault="008A6AD1" w:rsidP="008A6AD1">
      <w:pPr>
        <w:rPr>
          <w:rFonts w:ascii="Times New Roman" w:hAnsi="Times New Roman" w:cs="Times New Roman"/>
          <w:b/>
          <w:sz w:val="28"/>
          <w:szCs w:val="28"/>
        </w:rPr>
      </w:pPr>
    </w:p>
    <w:p w:rsidR="008A6AD1" w:rsidRDefault="008A6AD1" w:rsidP="008A6AD1">
      <w:pPr>
        <w:rPr>
          <w:rFonts w:ascii="Times New Roman" w:hAnsi="Times New Roman" w:cs="Times New Roman"/>
          <w:b/>
          <w:sz w:val="28"/>
          <w:szCs w:val="28"/>
        </w:rPr>
      </w:pPr>
      <w:r w:rsidRPr="008A6AD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tbl>
      <w:tblPr>
        <w:tblStyle w:val="a3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8A6AD1" w:rsidRPr="008A6AD1" w:rsidTr="00A675CA">
        <w:trPr>
          <w:trHeight w:val="8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A6AD1" w:rsidRPr="008A6AD1" w:rsidRDefault="008A6AD1" w:rsidP="008A6AD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«Запрет на использование летом шипованных шин и шин без</w:t>
            </w:r>
          </w:p>
          <w:p w:rsidR="008A6AD1" w:rsidRPr="008A6AD1" w:rsidRDefault="008A6AD1" w:rsidP="008A6AD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D1">
              <w:rPr>
                <w:rFonts w:ascii="Times New Roman" w:hAnsi="Times New Roman" w:cs="Times New Roman"/>
                <w:b/>
                <w:sz w:val="28"/>
                <w:szCs w:val="28"/>
              </w:rPr>
              <w:t>протекции зимой»</w:t>
            </w:r>
          </w:p>
        </w:tc>
      </w:tr>
    </w:tbl>
    <w:p w:rsidR="008A6AD1" w:rsidRPr="008A6AD1" w:rsidRDefault="008A6AD1" w:rsidP="008A6AD1">
      <w:pPr>
        <w:ind w:firstLine="708"/>
        <w:jc w:val="center"/>
        <w:rPr>
          <w:sz w:val="24"/>
          <w:szCs w:val="24"/>
        </w:rPr>
      </w:pPr>
    </w:p>
    <w:p w:rsidR="008A6AD1" w:rsidRDefault="008A6AD1" w:rsidP="008A6A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 1 сентября 2023 года вступил в силу запрет на использование летом шипованных шин и шин без протекции зимой.</w:t>
      </w:r>
    </w:p>
    <w:p w:rsidR="008A6AD1" w:rsidRDefault="008A6AD1" w:rsidP="008A6A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8A6AD1" w:rsidRDefault="008A6AD1" w:rsidP="008A6A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8A6AD1" w:rsidRDefault="008A6AD1" w:rsidP="008A6A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Кроме того, штраф последует, если на машине установлены шины с шипами противоскольжения, применяемые в летний период (июнь, июль,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>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8A6AD1" w:rsidRDefault="008A6AD1" w:rsidP="008A6A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Статьей 12.5 КоАП РФ установлена административная ответственность за управление транспортным средствам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</w:t>
      </w:r>
    </w:p>
    <w:p w:rsidR="008A6AD1" w:rsidRPr="008A6AD1" w:rsidRDefault="008A6AD1" w:rsidP="008A6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Санкция статьи предусматривает наказание в виде штрафа в размере 500 рублей. </w:t>
      </w:r>
      <w:r w:rsidRPr="008A6A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AD1" w:rsidRPr="008A6AD1" w:rsidRDefault="008A6AD1" w:rsidP="008A6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AD1" w:rsidRDefault="008A6AD1" w:rsidP="008A6AD1">
      <w:pPr>
        <w:rPr>
          <w:rFonts w:ascii="Times New Roman" w:hAnsi="Times New Roman" w:cs="Times New Roman"/>
          <w:b/>
          <w:sz w:val="28"/>
          <w:szCs w:val="28"/>
        </w:rPr>
      </w:pPr>
    </w:p>
    <w:p w:rsidR="008A6AD1" w:rsidRDefault="008A6AD1" w:rsidP="008A6AD1"/>
    <w:sectPr w:rsidR="008A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E"/>
    <w:rsid w:val="0020367C"/>
    <w:rsid w:val="0056037E"/>
    <w:rsid w:val="006A1AF0"/>
    <w:rsid w:val="0082690B"/>
    <w:rsid w:val="008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5398-6798-4A2B-B0B7-DD92F53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Ольга Валентиновна</dc:creator>
  <cp:keywords/>
  <dc:description/>
  <cp:lastModifiedBy>Glavspec</cp:lastModifiedBy>
  <cp:revision>2</cp:revision>
  <dcterms:created xsi:type="dcterms:W3CDTF">2023-12-07T07:55:00Z</dcterms:created>
  <dcterms:modified xsi:type="dcterms:W3CDTF">2023-12-07T07:55:00Z</dcterms:modified>
</cp:coreProperties>
</file>